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2007/166 vom 25. Juni 2007</w:t>
      </w:r>
    </w:p>
    <w:p>
      <w:r>
        <w:t>Sg Verwaltungsgericht, 2007-06-25, DE</w:t>
      </w:r>
    </w:p>
    <w:p>
      <w:r>
        <w:rPr>
          <w:b/>
        </w:rPr>
        <w:t xml:space="preserve">Quelle: </w:t>
      </w:r>
      <w:r>
        <w:t>https://mcp.opencaselaw.ch/entscheid/sg_publikationen_B 2007_166</w:t>
      </w:r>
    </w:p>
    <w:p>
      <w:r>
        <w:t>FR: SG_VERWALTUNGSGERICHT B 2007/166 du 25 juin 2007</w:t>
      </w:r>
    </w:p>
    <w:p>
      <w:r>
        <w:t>IT: SG_VERWALTUNGSGERICHT B 2007/166 del 25 giugno 2007</w:t>
      </w:r>
    </w:p>
    <w:p>
      <w:pPr>
        <w:pStyle w:val="Heading2"/>
      </w:pPr>
      <w:r>
        <w:t>Regeste</w:t>
      </w:r>
    </w:p>
    <w:p>
      <w:r>
        <w:t>Ausländerrecht, Art. 4 ANAG (SR 142.20). Rechtmässigkeit der Verweigerung der Bewilligungsverlängerung eines Jahresaufenthalters wegen verschiedener Straftaten trotz Aufenthalts von 16 Jahren in der Schweiz (Verwaltungsgericht, B 2007/166).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18. September und 22. Oktober 2007 entsprechen zeitlich, formal und inhaltlich den gesetzlichen Anforderungen (Art. 64 Abs. 1 in Verbindung mit Art. 47 Abs. 1 und Art. 48 Abs. 1 und 2 VRP). Auf die Beschwerde ist einzutreten.</w:t>
      </w:r>
    </w:p>
    <w:p>
      <w:r>
        <w:rPr>
          <w:b/>
        </w:rPr>
        <w:t>E. 2</w:t>
      </w:r>
    </w:p>
    <w:p>
      <w:r>
        <w:t>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2.1</w:t>
      </w:r>
    </w:p>
    <w:p>
      <w:r>
        <w:t>Der Beschwerdeführer war Inhaber einer Jahresaufenthaltsbewilligung. Diese war letztmals bis 24. Juni 2007 verlängert worden. Zu prüfen ist im vorliegenden Fall, inwiefern die Verweigerung der Verlängerung der Aufenthaltsbewilligung auf einer Ueberschreitung bzw. einem Missbrauch des Ermessens beruht und damit rechtswidrig ist. Der Beschwerdeführer hat als Jahresaufenthalter keinen Rechtsanspruch auf Erteilung oder Verlängerung der Aufenthaltsbewilligung. Die Erteilung bzw. Verlängerung der Aufenthaltsbewilligung stand somit im Ermessen des Ausländeramts bzw. der Vorinstanz. Dem Verwaltungsgericht ist es verwehrt, Entscheide der Verwaltungsbehörden im Bereich der Ermessensausübung zu überprüfen. Es kann nur prüfen, ob die Vorinstanz ihr Ermessen überschritten oder missbraucht hat, als sie die Verlängerung der Aufenthaltsbewilligung verweigerte (vgl. statt vieler GVP 1996 Nr. 9 und 1998 Nr. 71).</w:t>
      </w:r>
    </w:p>
    <w:p>
      <w:r>
        <w:rPr>
          <w:b/>
        </w:rPr>
        <w:t>E. 2.2</w:t>
      </w:r>
    </w:p>
    <w:p>
      <w:r>
        <w:t>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w:t>
      </w:r>
    </w:p>
    <w:p>
      <w:r>
        <w:rPr>
          <w:b/>
        </w:rPr>
        <w:t>E. 2.3</w:t>
      </w:r>
    </w:p>
    <w:p>
      <w:r>
        <w:t>Der Beschwerdeführer hat sich zahlreiche Straftaten zuschulden kommen lassen. Zwischen 1995 und 2003 wurde er wegen SVG- und ANAG-Delikten mit drei Gefängnisstrafen von sechs Tagen, von einer Woche und von drei Monaten sowie mit fünf Bussen von Fr. 200.--, Fr. 300.--, Fr. 600.--, Fr. 1'000.-- und Fr. 1'400.-- bestraft. Am 21. Januar 2004 sprach das Ausländeramt gegen den Beschwerdeführer eine Verwarnung aus und verlängerte die Aufenthaltsbewilligung nur auf Zusehen und Wohlverhalten hin. In den Jahren 2004 bis 2006 delinquierte der Beschwerdeführer aber erneut. Wegen mehrfachen Ungehorsams im Betreibungs-und Konkursverfahren und Widerhandlung gegen das Gastwirtschaftsgesetz wurde er in den Jahren 2004 und 2005 mit drei Bussen von Fr. 200.--, Fr. 300.-- und Fr. 500.-- bestraft. Am 28. Juni 2006 wurde der Restbetrag einer Busse in fünfzehn Tage Haft umgewandelt. Wegen Fahrens in angetrunkenem Zustand wurde der Beschwerdeführer am 18. Juli 2006 mit einem Monat Haft unbedingt und am 7. Dezember 2006 mit zwei Monaten Haft unbedingt bestraft. Ausserdem wurde die am 5. Dezember 2003 ausgefällte bedingte Gefängnisstrafe von drei Monaten als vollziehbar erklärt. Der Beschwerdeführer verbüsste die Freiheitsstrafen in Halbgefangenschaft. Die Bewilligung zu dieser Vollzugsform wurde am 22. Mai 2007 widerrufen, weil sich der Beschwerdeführer nicht korrekt verhalten hatte. Das Untersuchungsamt Altstätten sprach den Beschwerdeführer am 7. September 2007 des mehrfachen Fahrens trotz Entzug des Führerausweises und des Verstosses gegen das Gastwirtschaftsgesetz schuldig und verurteilte ihn zu 160 Stunden gemeinnütziger Arbeit und einer Busse von Fr. 300.--. Diese zahlreichen Delikte bzw. Verurteilungen begründen in fremdenpolizeilicher Hinsicht ein erhebliches öffentliches Interesse an der Verweigerung des weiteren Aufenthalts des Beschwerdeführers. Zwar liess sich dieser keine Verbrechen oder ähnlich schwerwiegende Delikte zuschulden kommen. Auffallend ist aber die grosse Zahl der Verstösse gegen das SVG sowie die wiederholten Straftaten im Zusammenhang mit dem Betrieb einer Gastwirtschaft. Namentlich das wiederholte Fahren in angetrunkenem Zustand, wobei der Beschwerdeführer mehrmals während laufender Probezeit rückfällig wurde, sowie der Umstand, dass er trotz Ausweisentzugs weiterhin sein Auto lenkte, lassen auf eine schwerwiegende Gleichgültigkeit gegenüber gesetzlichen Vorschriften und behördlichen Anordnungen schliessen. Hinsichtlich der SVG-Delikte muss der Beschwerdeführer nachgerade als unbelehrbar qualifiziert werden. Zu Recht hielt die Vorinstanz ausserdem fest, dass auch die fremdenpolizeilichen Verwarnungen den Beschwerdeführer nicht zu beeindrucken vermochten. Fest steht weiter, dass der Beschwerdeführer seinen finanziellen Verpflichtungen nicht nachkommt. Gegen ihn bestehen 34 Verlustscheine im Betrag von über Fr. 100'000.--. Dass die Schulden zur Hauptsache auf eine geschäftliche Tätigkeit zurückzuführen sind, ändert an der unvollständigen Erfüllung der finanziellen Verpflichtungen nichts. Ob sich der Beschwerdeführer künftig als Arbeitnehmer bewähren wird, kann offen bleiben. Die Aufenthaltsdauer von nunmehr über 16 Jahren in der Schweiz sowie der vorherige Aufenthalt als Saisonnier fallen zugunsten des Beschwerdeführers ins Gewicht. Der Beschwerdeführer ist verheiratet. Seine Ehefrau lebt im Herkunftsstaat. Eine Rückkehr ist daher für ihn im Vergleich zu Landsleuten in einer ähnlichen Situation ohne überdurchschnittliche Probleme möglich. In familiärer Hinsicht fällt daher die Verweigerung des weiteren Aufenthalts in der Schweiz nicht nachteilig ins Gewicht. Fehl geht die Berufung auf Art. 14 Abs. 2 des Asylgesetzes (SR 142.31). Diese Bestimmung kommt vorliegend gar nicht zum Tragen, da der Beschwerdeführer nicht aufgrund des Asylgesetzes dem Kanton St. Gallen zugewiesen ist. Im weiteren könnte auch nicht von einem schwerwiegenden persönlichen Härtefall infolge fortgeschrittener Integration gesprochen werden. Eine solche Integration würde namentlich auch voraussetzen, dass der Beschwerdeführer unbescholten ist. Da die Ehefrau im Herkunftsstaat lebt, ist nicht ersichtlich, inwiefern die Rückkehr einen schwerwiegenden persönlichen Härtefall begründen sollte.</w:t>
      </w:r>
    </w:p>
    <w:p>
      <w:r>
        <w:rPr>
          <w:b/>
        </w:rPr>
        <w:t>E. 2.4</w:t>
      </w:r>
    </w:p>
    <w:p>
      <w:r>
        <w:t>Zusammenfassend ergibt sich, dass in der Verweigerung der Verlängerung der Aufenthaltsbewilligung aufgrund der zahlreichen Straftaten und des Fehlens schwerwiegender familiärer Nachteile trotz des langen Aufenthalts in der Schweiz kein Missbrauch bzw. keine Ueberschreitung des Ermessens zu erblicken ist, weshalb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Rechtsanwalt lic. iur. F.)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